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Порядок назначения генетической экспертизы для установления отцовства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Генетическая экспертиза по делам об установлении отцовства назначается судом, рассматривающим дело, как правило, по ходатайству сторон. О назначении экспертизы суд выносит определение.</w:t>
      </w:r>
      <w:r>
        <w:rPr>
          <w:rFonts w:ascii="Times New Roman" w:hAnsi="Times New Roman"/>
          <w:sz w:val="28"/>
          <w:szCs w:val="28"/>
        </w:rPr>
        <w:tab/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Составление ходатайства о назначении генетической экспертизы для установления отцовства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Установить отцовство с высокой степенью точности позволяет молекулярно-генетическая экспертиза. Провести ее можно не только при жизни предполагаемого отца, но и после его смерти (ч. 1, 2 ст. 79 ГПК РФ; п. п. 20, 23 Постановления Пленума Верховного Суда РФ от 16.05.2017 N 16).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Как правило, ходатайство о назначении указанной экспертизы заявляют стороны - истец и ответчик в исковом производстве (ст. 34, ч. 1 ст. 35, ч. 1 ст. 38 ГПК РФ).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ходатайстве необходимо указать, в частности, следующие сведения: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</w:t>
      </w:r>
      <w:r>
        <w:rPr>
          <w:rFonts w:ascii="Times New Roman" w:hAnsi="Times New Roman"/>
          <w:sz w:val="28"/>
          <w:szCs w:val="28"/>
        </w:rPr>
        <w:tab/>
        <w:t>наименование суда;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</w:t>
      </w:r>
      <w:r>
        <w:rPr>
          <w:rFonts w:ascii="Times New Roman" w:hAnsi="Times New Roman"/>
          <w:sz w:val="28"/>
          <w:szCs w:val="28"/>
        </w:rPr>
        <w:tab/>
        <w:t>процессуальный статус лица, заявляющего ходатайство, его Ф.И.О., адрес, номер телефона, адрес электронной почты, иные контактные данные;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</w:t>
      </w:r>
      <w:r>
        <w:rPr>
          <w:rFonts w:ascii="Times New Roman" w:hAnsi="Times New Roman"/>
          <w:sz w:val="28"/>
          <w:szCs w:val="28"/>
        </w:rPr>
        <w:tab/>
        <w:t>номер дела, Ф.И.О., адреса, номера телефонов, адреса электронной почты истца и ответчика по делу;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4)</w:t>
      </w:r>
      <w:r>
        <w:rPr>
          <w:rFonts w:ascii="Times New Roman" w:hAnsi="Times New Roman"/>
          <w:sz w:val="28"/>
          <w:szCs w:val="28"/>
        </w:rPr>
        <w:tab/>
        <w:t>обоснование необходимости назначения экспертизы;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5)</w:t>
      </w:r>
      <w:r>
        <w:rPr>
          <w:rFonts w:ascii="Times New Roman" w:hAnsi="Times New Roman"/>
          <w:sz w:val="28"/>
          <w:szCs w:val="28"/>
        </w:rPr>
        <w:tab/>
        <w:t>непосредственно просьбу назначить экспертизу и вопросы, которые следует поставить перед экспертом. По данной категории дел, как правило, ставится один вопрос: является ли конкретный гражданин биологическим отцом ребенка;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6)</w:t>
      </w:r>
      <w:r>
        <w:rPr>
          <w:rFonts w:ascii="Times New Roman" w:hAnsi="Times New Roman"/>
          <w:sz w:val="28"/>
          <w:szCs w:val="28"/>
        </w:rPr>
        <w:tab/>
        <w:t>предпочтения по выбору лаборатории, где будет проводиться экспертиза.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К ходатайству следует приложить его копии для иных лиц, участвующих в деле, а также доверенность на представителя, если ходатайство подается представителем.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Вынесение судом определения о назначении экспертизы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Ходатайство о назначении экспертизы разрешается с учетом мнения лиц, участвующих в деле. Также учитывается мнение детей, достигших возраста 10 лет (ст. 166 ГПК РФ; п. 8 Обзора, утв. Президиумом Верховного Суда РФ 13.04.2016).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О назначении экспертизы суд выносит определение, в котором указываются (ст. 80 ГПК РФ):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</w:t>
      </w:r>
      <w:r>
        <w:rPr>
          <w:rFonts w:ascii="Times New Roman" w:hAnsi="Times New Roman"/>
          <w:sz w:val="28"/>
          <w:szCs w:val="28"/>
        </w:rPr>
        <w:tab/>
        <w:t>дата назначения экспертизы и дата, не позднее которой заключение должно быть составлено и направлено экспертом в суд;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</w:t>
      </w:r>
      <w:r>
        <w:rPr>
          <w:rFonts w:ascii="Times New Roman" w:hAnsi="Times New Roman"/>
          <w:sz w:val="28"/>
          <w:szCs w:val="28"/>
        </w:rPr>
        <w:tab/>
        <w:t>наименование экспертизы;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</w:t>
      </w:r>
      <w:r>
        <w:rPr>
          <w:rFonts w:ascii="Times New Roman" w:hAnsi="Times New Roman"/>
          <w:sz w:val="28"/>
          <w:szCs w:val="28"/>
        </w:rPr>
        <w:tab/>
        <w:t>факты, для подтверждения или опровержения которых назначается экспертиза;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4)</w:t>
      </w:r>
      <w:r>
        <w:rPr>
          <w:rFonts w:ascii="Times New Roman" w:hAnsi="Times New Roman"/>
          <w:sz w:val="28"/>
          <w:szCs w:val="28"/>
        </w:rPr>
        <w:tab/>
        <w:t>вопросы, поставленные перед экспертом;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5)</w:t>
      </w:r>
      <w:r>
        <w:rPr>
          <w:rFonts w:ascii="Times New Roman" w:hAnsi="Times New Roman"/>
          <w:sz w:val="28"/>
          <w:szCs w:val="28"/>
        </w:rPr>
        <w:tab/>
        <w:t>Ф.И.О. эксперта либо наименование экспертного учреждения, которому поручается проведение экспертизы;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6)</w:t>
      </w:r>
      <w:r>
        <w:rPr>
          <w:rFonts w:ascii="Times New Roman" w:hAnsi="Times New Roman"/>
          <w:sz w:val="28"/>
          <w:szCs w:val="28"/>
        </w:rPr>
        <w:tab/>
        <w:t>наименование стороны, которая оплачивает экспертизу. Сторона, заявившая ходатайство о назначении экспертизы, должна предварительно внести на счет суда денежную сумму, подлежащую выплате эксперту. Если ходатайство заявлено обеими сторонами, нужная сумма вносится сторонами в равных частях (ч. 1 ст. 96 ГПК РФ).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Стороны, другие лица, участвующие в деле, вправе ознакомиться с определением суда о назначении экспертизы и со сформулированными в нем вопросами (ч. 2 ст. 79 ГПК РФ).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Особенности проведения генетической экспертизы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Генетическая экспертиза по поводу происхождения детей в делах об оспаривании отцовства отвечает на следующие вопросы (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. 84.12 Порядка, утв. Приказом </w:t>
      </w:r>
      <w:proofErr w:type="spellStart"/>
      <w:r>
        <w:rPr>
          <w:rFonts w:ascii="Times New Roman" w:hAnsi="Times New Roman"/>
          <w:sz w:val="28"/>
          <w:szCs w:val="28"/>
        </w:rPr>
        <w:t>Минздравсоцразвития</w:t>
      </w:r>
      <w:proofErr w:type="spellEnd"/>
      <w:r>
        <w:rPr>
          <w:rFonts w:ascii="Times New Roman" w:hAnsi="Times New Roman"/>
          <w:sz w:val="28"/>
          <w:szCs w:val="28"/>
        </w:rPr>
        <w:t xml:space="preserve"> России от 12.05.2010 N 346н):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•</w:t>
      </w:r>
      <w:r>
        <w:rPr>
          <w:rFonts w:ascii="Times New Roman" w:hAnsi="Times New Roman"/>
          <w:sz w:val="28"/>
          <w:szCs w:val="28"/>
        </w:rPr>
        <w:tab/>
        <w:t>исключается или не исключается отцовство данного лица в отношении данного ребенка;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•</w:t>
      </w:r>
      <w:r>
        <w:rPr>
          <w:rFonts w:ascii="Times New Roman" w:hAnsi="Times New Roman"/>
          <w:sz w:val="28"/>
          <w:szCs w:val="28"/>
        </w:rPr>
        <w:tab/>
        <w:t>если отцовство не исключается, то какова вероятность того, что полученный результат не является следствием случайного совпадения индивидуализирующих признаков неродственных лиц.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Для проведения экспертизы необходимо письменное согласие лиц, у которых берутся образцы для исследования. В определенных случаях такое согласие дается законными представителями лиц, в отношении которых назначена экспертиза. Например, если берутся образцы крови у несовершеннолетних, не достигших возраста 15 лет, у недееспособных (ч. 2, 3 ст. 28 Закона от 31.05.2001 N 73-ФЗ).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При проведении генетической экспертизы изучаются образцы крови либо других материалов: слюны, мазков (соскобов) со слизистой оболочки ротовой полости. Стандартное исследование предполагает взятие крови у ребенка, его матери и предполагаемого отца. При процедуре взятия образцов должны присутствовать два медицинских работника.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Если предполагаемый отец умер, то в качестве образцов для исследования возможно использование волос, ногтей, костей, зубов и мышц. Также возможна экспертиза отдаленного родства, при которой исследуются образцы от истинных детей или других родственников умершего (ч. 1 ст. 10 Закона N 73-ФЗ; п. 10, 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>. 84.2, 84.4, 84.12.1 Порядка N 346н).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Заключение эксперта должно содержать подробное описание проведенного исследования, сделанные в результате него выводы и ответы на поставленные судом вопросы (ч. 2 ст. 25 Закона N 73-ФЗ; ч. 2 ст. 86 ГПК РФ).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Оценка судом заключения эксперта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При установлении отцовства суд принимает во внимание любые доказательства, с достоверностью подтверждающие происхождение ребенка от конкретного лица. Такие доказательства могут быть получены из объяснений сторон и третьих лиц, показаний свидетелей, письменных и вещественных доказательств, аудио- и видеозаписей, заключений экспертов. При этом заключение экспертизы по вопросу происхождения ребенка является одним из доказательств, которое оценивается судом в совокупности с другими доказательствами (ст. 49 СК РФ; ч. 1 ст. 55, ч. 2 ст. 67, ч. 3 ст. 86 ГПК РФ; п. 20 Постановления Пленума Верховного Суда РФ N 16; п. 7 Постановления Пленума Верховного Суда РФ от 19.12.2003 N 23).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Если предполагаемый отец отказался от сдачи биологического материала, суд вправе признать факт отцовства установленным (ч. 3 ст. 79 ГПК РФ; п. 21 Постановления Пленума Верховного Суда РФ N 16).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итогам рассмотрения дела об установлении отцовства суд принимает решение об удовлетворении иска либо об отказе в удовлетворении иска (ст. ст. 194, 198 ГПК РФ).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решении отражаются результаты оценки доказательств, в том числе заключения эксперта о проведении генетической экспертизы (ч. 4 ст. 67 ГПК РФ).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случае удовлетворения иска в полном объеме понесенные стороной для проведения экспертизы расходы взыскиваются судом, по общему правилу, с другой стороны (ч. 1 ст. 88, ст. 94, ч. 1, 6 ст. 98 ГПК РФ; п. 2 Постановления Пленума Верховного Суда РФ от 21.01.2016 N 1).</w:t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Панафидин С.Д.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D9203A" w:rsidRDefault="00D9203A" w:rsidP="00D920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DC330D" w:rsidRPr="003A3249" w:rsidRDefault="00DC330D" w:rsidP="00520064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DC330D" w:rsidRPr="003A324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1F65" w:rsidRDefault="00631F65" w:rsidP="00DC330D">
      <w:pPr>
        <w:spacing w:after="0" w:line="240" w:lineRule="auto"/>
      </w:pPr>
      <w:r>
        <w:separator/>
      </w:r>
    </w:p>
  </w:endnote>
  <w:endnote w:type="continuationSeparator" w:id="0">
    <w:p w:rsidR="00631F65" w:rsidRDefault="00631F65" w:rsidP="00DC33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30D" w:rsidRDefault="00DC330D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30D" w:rsidRDefault="00DC330D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30D" w:rsidRDefault="00DC330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1F65" w:rsidRDefault="00631F65" w:rsidP="00DC330D">
      <w:pPr>
        <w:spacing w:after="0" w:line="240" w:lineRule="auto"/>
      </w:pPr>
      <w:r>
        <w:separator/>
      </w:r>
    </w:p>
  </w:footnote>
  <w:footnote w:type="continuationSeparator" w:id="0">
    <w:p w:rsidR="00631F65" w:rsidRDefault="00631F65" w:rsidP="00DC33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30D" w:rsidRDefault="00DC330D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30D" w:rsidRDefault="00DC330D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30D" w:rsidRDefault="00DC33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313"/>
    <w:rsid w:val="00013889"/>
    <w:rsid w:val="0003037C"/>
    <w:rsid w:val="000D700F"/>
    <w:rsid w:val="00106123"/>
    <w:rsid w:val="001143B6"/>
    <w:rsid w:val="0017701E"/>
    <w:rsid w:val="00206F17"/>
    <w:rsid w:val="00272559"/>
    <w:rsid w:val="002F6984"/>
    <w:rsid w:val="00380F1B"/>
    <w:rsid w:val="003A3249"/>
    <w:rsid w:val="0040314F"/>
    <w:rsid w:val="00520064"/>
    <w:rsid w:val="005242E3"/>
    <w:rsid w:val="005A7360"/>
    <w:rsid w:val="005D7707"/>
    <w:rsid w:val="00631F65"/>
    <w:rsid w:val="00645285"/>
    <w:rsid w:val="006B53CE"/>
    <w:rsid w:val="00736313"/>
    <w:rsid w:val="007C06E7"/>
    <w:rsid w:val="007C60C4"/>
    <w:rsid w:val="00832716"/>
    <w:rsid w:val="00846C56"/>
    <w:rsid w:val="00881C4F"/>
    <w:rsid w:val="009B0E17"/>
    <w:rsid w:val="009D2E2B"/>
    <w:rsid w:val="00A3397A"/>
    <w:rsid w:val="00A467EA"/>
    <w:rsid w:val="00AE6F78"/>
    <w:rsid w:val="00C57B81"/>
    <w:rsid w:val="00C74B18"/>
    <w:rsid w:val="00CA6495"/>
    <w:rsid w:val="00D876DD"/>
    <w:rsid w:val="00D9203A"/>
    <w:rsid w:val="00DA5904"/>
    <w:rsid w:val="00DC330D"/>
    <w:rsid w:val="00DC3DA8"/>
    <w:rsid w:val="00DD539C"/>
    <w:rsid w:val="00DE4766"/>
    <w:rsid w:val="00DF6FCC"/>
    <w:rsid w:val="00EF239E"/>
    <w:rsid w:val="00F06C0B"/>
    <w:rsid w:val="00F07BAF"/>
    <w:rsid w:val="00FD5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CA8C1"/>
  <w15:chartTrackingRefBased/>
  <w15:docId w15:val="{3C4A3C6B-409E-47A6-B37C-7B8D73152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6FCC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314F"/>
    <w:pPr>
      <w:spacing w:after="0" w:line="240" w:lineRule="auto"/>
    </w:pPr>
    <w:rPr>
      <w:rFonts w:ascii="Segoe UI" w:eastAsiaTheme="minorHAns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0314F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D876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DC330D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7">
    <w:name w:val="Верхний колонтитул Знак"/>
    <w:basedOn w:val="a0"/>
    <w:link w:val="a6"/>
    <w:uiPriority w:val="99"/>
    <w:rsid w:val="00DC330D"/>
  </w:style>
  <w:style w:type="paragraph" w:styleId="a8">
    <w:name w:val="footer"/>
    <w:basedOn w:val="a"/>
    <w:link w:val="a9"/>
    <w:uiPriority w:val="99"/>
    <w:unhideWhenUsed/>
    <w:rsid w:val="00DC330D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9">
    <w:name w:val="Нижний колонтитул Знак"/>
    <w:basedOn w:val="a0"/>
    <w:link w:val="a8"/>
    <w:uiPriority w:val="99"/>
    <w:rsid w:val="00DC33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98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3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917</Words>
  <Characters>5227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34</cp:revision>
  <cp:lastPrinted>2022-10-10T08:49:00Z</cp:lastPrinted>
  <dcterms:created xsi:type="dcterms:W3CDTF">2022-09-23T02:27:00Z</dcterms:created>
  <dcterms:modified xsi:type="dcterms:W3CDTF">2023-02-03T07:30:00Z</dcterms:modified>
</cp:coreProperties>
</file>